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BDFC5">
      <w:pPr>
        <w:jc w:val="center"/>
        <w:rPr>
          <w:rFonts w:ascii="宋体" w:hAnsi="宋体" w:eastAsia="宋体"/>
          <w:b/>
          <w:bCs/>
          <w:sz w:val="44"/>
          <w:szCs w:val="52"/>
          <w:shd w:val="clear" w:color="auto" w:fill="FFFFFF"/>
        </w:rPr>
      </w:pPr>
    </w:p>
    <w:p w14:paraId="70B44076">
      <w:pPr>
        <w:jc w:val="center"/>
        <w:rPr>
          <w:rFonts w:asciiTheme="majorEastAsia" w:hAnsiTheme="majorEastAsia" w:eastAsiaTheme="majorEastAsia"/>
          <w:b/>
          <w:bCs/>
          <w:sz w:val="44"/>
          <w:szCs w:val="52"/>
          <w:shd w:val="clear" w:color="auto" w:fill="FFFFFF"/>
        </w:rPr>
      </w:pPr>
      <w:r>
        <w:rPr>
          <w:rFonts w:hint="eastAsia" w:asciiTheme="majorEastAsia" w:hAnsiTheme="majorEastAsia" w:eastAsiaTheme="majorEastAsia"/>
          <w:b/>
          <w:bCs/>
          <w:sz w:val="44"/>
          <w:szCs w:val="52"/>
          <w:shd w:val="clear" w:color="auto" w:fill="FFFFFF"/>
        </w:rPr>
        <w:t>学习</w:t>
      </w:r>
      <w:r>
        <w:rPr>
          <w:rFonts w:asciiTheme="majorEastAsia" w:hAnsiTheme="majorEastAsia" w:eastAsiaTheme="majorEastAsia"/>
          <w:b/>
          <w:bCs/>
          <w:sz w:val="44"/>
          <w:szCs w:val="52"/>
          <w:shd w:val="clear" w:color="auto" w:fill="FFFFFF"/>
        </w:rPr>
        <w:t>参考材料（</w:t>
      </w:r>
      <w:r>
        <w:rPr>
          <w:rFonts w:hint="eastAsia" w:asciiTheme="majorEastAsia" w:hAnsiTheme="majorEastAsia" w:eastAsiaTheme="majorEastAsia"/>
          <w:b/>
          <w:bCs/>
          <w:sz w:val="44"/>
          <w:szCs w:val="52"/>
          <w:shd w:val="clear" w:color="auto" w:fill="FFFFFF"/>
        </w:rPr>
        <w:t>一</w:t>
      </w:r>
      <w:r>
        <w:rPr>
          <w:rFonts w:asciiTheme="majorEastAsia" w:hAnsiTheme="majorEastAsia" w:eastAsiaTheme="majorEastAsia"/>
          <w:b/>
          <w:bCs/>
          <w:sz w:val="44"/>
          <w:szCs w:val="52"/>
          <w:shd w:val="clear" w:color="auto" w:fill="FFFFFF"/>
        </w:rPr>
        <w:t>）</w:t>
      </w:r>
    </w:p>
    <w:sdt>
      <w:sdtPr>
        <w:rPr>
          <w:rFonts w:asciiTheme="majorEastAsia" w:hAnsiTheme="majorEastAsia" w:eastAsiaTheme="minorEastAsia" w:cstheme="minorBidi"/>
          <w:color w:val="auto"/>
          <w:kern w:val="2"/>
          <w:sz w:val="21"/>
          <w:szCs w:val="24"/>
          <w:lang w:val="zh-CN"/>
        </w:rPr>
        <w:id w:val="1482043394"/>
        <w:docPartObj>
          <w:docPartGallery w:val="Table of Contents"/>
          <w:docPartUnique/>
        </w:docPartObj>
      </w:sdtPr>
      <w:sdtEndPr>
        <w:rPr>
          <w:rFonts w:asciiTheme="majorEastAsia" w:hAnsiTheme="majorEastAsia" w:eastAsiaTheme="majorEastAsia" w:cstheme="minorBidi"/>
          <w:b/>
          <w:bCs/>
          <w:color w:val="auto"/>
          <w:kern w:val="2"/>
          <w:sz w:val="32"/>
          <w:szCs w:val="32"/>
          <w:lang w:val="zh-CN"/>
        </w:rPr>
      </w:sdtEndPr>
      <w:sdtContent>
        <w:p w14:paraId="4E19DC0A">
          <w:pPr>
            <w:pStyle w:val="15"/>
            <w:jc w:val="center"/>
            <w:rPr>
              <w:rFonts w:asciiTheme="majorEastAsia" w:hAnsiTheme="majorEastAsia"/>
              <w:b/>
              <w:bCs/>
              <w:color w:val="auto"/>
              <w:sz w:val="44"/>
              <w:szCs w:val="44"/>
            </w:rPr>
          </w:pPr>
          <w:r>
            <w:rPr>
              <w:rFonts w:asciiTheme="majorEastAsia" w:hAnsiTheme="majorEastAsia"/>
              <w:b/>
              <w:bCs/>
              <w:color w:val="auto"/>
              <w:sz w:val="44"/>
              <w:szCs w:val="44"/>
              <w:lang w:val="zh-CN"/>
            </w:rPr>
            <w:t>目录</w:t>
          </w:r>
        </w:p>
        <w:p w14:paraId="00C6B857">
          <w:pPr>
            <w:pStyle w:val="8"/>
            <w:tabs>
              <w:tab w:val="right" w:leader="dot" w:pos="8296"/>
            </w:tabs>
            <w:rPr>
              <w:rFonts w:asciiTheme="majorEastAsia" w:hAnsiTheme="majorEastAsia" w:eastAsiaTheme="majorEastAsia"/>
              <w:sz w:val="30"/>
              <w:szCs w:val="30"/>
            </w:rPr>
          </w:pPr>
          <w:r>
            <w:rPr>
              <w:rFonts w:asciiTheme="majorEastAsia" w:hAnsiTheme="majorEastAsia" w:eastAsiaTheme="majorEastAsia"/>
              <w:sz w:val="30"/>
              <w:szCs w:val="30"/>
            </w:rPr>
            <w:fldChar w:fldCharType="begin"/>
          </w:r>
          <w:r>
            <w:rPr>
              <w:rFonts w:asciiTheme="majorEastAsia" w:hAnsiTheme="majorEastAsia" w:eastAsiaTheme="majorEastAsia"/>
              <w:sz w:val="30"/>
              <w:szCs w:val="30"/>
            </w:rPr>
            <w:instrText xml:space="preserve"> TOC \o "1-3" \h \z \u </w:instrText>
          </w:r>
          <w:r>
            <w:rPr>
              <w:rFonts w:asciiTheme="majorEastAsia" w:hAnsiTheme="majorEastAsia" w:eastAsiaTheme="majorEastAsia"/>
              <w:sz w:val="30"/>
              <w:szCs w:val="30"/>
            </w:rPr>
            <w:fldChar w:fldCharType="separate"/>
          </w:r>
          <w:r>
            <w:fldChar w:fldCharType="begin"/>
          </w:r>
          <w:r>
            <w:instrText xml:space="preserve"> HYPERLINK \l "_Toc96966158" </w:instrText>
          </w:r>
          <w:r>
            <w:fldChar w:fldCharType="separate"/>
          </w:r>
          <w:r>
            <w:rPr>
              <w:rStyle w:val="14"/>
              <w:rFonts w:asciiTheme="majorEastAsia" w:hAnsiTheme="majorEastAsia" w:eastAsiaTheme="majorEastAsia"/>
              <w:sz w:val="30"/>
              <w:szCs w:val="30"/>
            </w:rPr>
            <w:t>福建工程学院2021年下半年党政工作要点</w:t>
          </w:r>
          <w:r>
            <w:rPr>
              <w:rFonts w:asciiTheme="majorEastAsia" w:hAnsiTheme="majorEastAsia" w:eastAsiaTheme="majorEastAsia"/>
              <w:sz w:val="30"/>
              <w:szCs w:val="30"/>
            </w:rPr>
            <w:tab/>
          </w:r>
          <w:r>
            <w:rPr>
              <w:rFonts w:asciiTheme="majorEastAsia" w:hAnsiTheme="majorEastAsia" w:eastAsiaTheme="majorEastAsia"/>
              <w:sz w:val="30"/>
              <w:szCs w:val="30"/>
            </w:rPr>
            <w:fldChar w:fldCharType="begin"/>
          </w:r>
          <w:r>
            <w:rPr>
              <w:rFonts w:asciiTheme="majorEastAsia" w:hAnsiTheme="majorEastAsia" w:eastAsiaTheme="majorEastAsia"/>
              <w:sz w:val="30"/>
              <w:szCs w:val="30"/>
            </w:rPr>
            <w:instrText xml:space="preserve"> PAGEREF _Toc96966158 \h </w:instrText>
          </w:r>
          <w:r>
            <w:rPr>
              <w:rFonts w:asciiTheme="majorEastAsia" w:hAnsiTheme="majorEastAsia" w:eastAsiaTheme="majorEastAsia"/>
              <w:sz w:val="30"/>
              <w:szCs w:val="30"/>
            </w:rPr>
            <w:fldChar w:fldCharType="separate"/>
          </w:r>
          <w:r>
            <w:rPr>
              <w:rFonts w:asciiTheme="majorEastAsia" w:hAnsiTheme="majorEastAsia" w:eastAsiaTheme="majorEastAsia"/>
              <w:sz w:val="30"/>
              <w:szCs w:val="30"/>
            </w:rPr>
            <w:t>1</w:t>
          </w:r>
          <w:r>
            <w:rPr>
              <w:rFonts w:asciiTheme="majorEastAsia" w:hAnsiTheme="majorEastAsia" w:eastAsiaTheme="majorEastAsia"/>
              <w:sz w:val="30"/>
              <w:szCs w:val="30"/>
            </w:rPr>
            <w:fldChar w:fldCharType="end"/>
          </w:r>
          <w:r>
            <w:rPr>
              <w:rFonts w:asciiTheme="majorEastAsia" w:hAnsiTheme="majorEastAsia" w:eastAsiaTheme="majorEastAsia"/>
              <w:sz w:val="30"/>
              <w:szCs w:val="30"/>
            </w:rPr>
            <w:fldChar w:fldCharType="end"/>
          </w:r>
        </w:p>
        <w:p w14:paraId="63D47D48">
          <w:pPr>
            <w:rPr>
              <w:rFonts w:hint="eastAsia" w:asciiTheme="majorEastAsia" w:hAnsiTheme="majorEastAsia" w:eastAsiaTheme="majorEastAsia"/>
              <w:sz w:val="32"/>
              <w:szCs w:val="32"/>
            </w:rPr>
          </w:pPr>
          <w:r>
            <w:rPr>
              <w:rFonts w:asciiTheme="majorEastAsia" w:hAnsiTheme="majorEastAsia" w:eastAsiaTheme="majorEastAsia"/>
              <w:bCs/>
              <w:sz w:val="30"/>
              <w:szCs w:val="30"/>
              <w:lang w:val="zh-CN"/>
            </w:rPr>
            <w:fldChar w:fldCharType="end"/>
          </w:r>
        </w:p>
      </w:sdtContent>
    </w:sdt>
    <w:p w14:paraId="2AA5D9B5">
      <w:pPr>
        <w:tabs>
          <w:tab w:val="left" w:pos="5040"/>
        </w:tabs>
      </w:pPr>
      <w:r>
        <w:tab/>
      </w:r>
    </w:p>
    <w:p w14:paraId="14C39CAE">
      <w:pPr>
        <w:tabs>
          <w:tab w:val="left" w:pos="5040"/>
        </w:tabs>
        <w:sectPr>
          <w:headerReference r:id="rId3" w:type="default"/>
          <w:footerReference r:id="rId4" w:type="default"/>
          <w:pgSz w:w="11906" w:h="16838"/>
          <w:pgMar w:top="1440" w:right="1800" w:bottom="1440" w:left="1800" w:header="851" w:footer="992" w:gutter="0"/>
          <w:pgNumType w:start="0"/>
          <w:cols w:space="425" w:num="1"/>
          <w:titlePg/>
          <w:docGrid w:type="lines" w:linePitch="312" w:charSpace="0"/>
        </w:sectPr>
      </w:pPr>
      <w:r>
        <w:tab/>
      </w:r>
    </w:p>
    <w:p w14:paraId="132BC80E">
      <w:pPr>
        <w:pStyle w:val="10"/>
        <w:spacing w:line="420" w:lineRule="atLeast"/>
        <w:rPr>
          <w:rFonts w:asciiTheme="minorEastAsia" w:hAnsiTheme="minorEastAsia"/>
          <w:sz w:val="24"/>
        </w:rPr>
      </w:pPr>
      <w:bookmarkStart w:id="0" w:name="_Toc96966158"/>
      <w:r>
        <w:rPr>
          <w:rFonts w:hint="eastAsia" w:asciiTheme="minorEastAsia" w:hAnsiTheme="minorEastAsia"/>
          <w:sz w:val="24"/>
        </w:rPr>
        <w:t>福建工程学院2021年下半年党政工作要点</w:t>
      </w:r>
      <w:bookmarkEnd w:id="0"/>
    </w:p>
    <w:p w14:paraId="7C5B29B5">
      <w:pPr>
        <w:spacing w:line="42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2021年下半年学校党政工作的总要求是：坚持以习近平新时代中国特色社会主义思想为指导，贯彻落实党的十九大和十九届二中、三中、四中、五中全会精神，深入学习贯彻习近平总书记在庆祝中国共产党成立100周年大会上的重要讲话精神和习近平总书记来闽考察重要讲话精神，全面贯彻党的教育方针，牢牢把握立德树人根本任务，深入开展党史学习教育，严格落实省委、省政府各项决策部署，全面落实学校第三次党代会精神，坚持党建工作与业务工作同谋划、同部署、同推进、同考核，坚定不移推动全面从严治党向基层延伸，坚持稳中求进，立足新发展阶段，完整、准确、全面贯彻新发展理念，服务和融入新发展格局，聚焦追求高质量、深化优服务、增强新动能，为全面建设一流应用型大学，推动学校实现从新建向新型跨越开好局、起好步。</w:t>
      </w:r>
    </w:p>
    <w:p w14:paraId="505BEC61">
      <w:pPr>
        <w:spacing w:line="420" w:lineRule="exact"/>
        <w:rPr>
          <w:rFonts w:hint="eastAsia" w:asciiTheme="minorEastAsia" w:hAnsiTheme="minorEastAsia" w:cstheme="minorEastAsia"/>
          <w:sz w:val="24"/>
        </w:rPr>
      </w:pPr>
      <w:r>
        <w:rPr>
          <w:rFonts w:hint="eastAsia" w:asciiTheme="minorEastAsia" w:hAnsiTheme="minorEastAsia" w:cstheme="minorEastAsia"/>
          <w:sz w:val="24"/>
        </w:rPr>
        <w:t>一、坚持正确方向引领，汇聚高质量发展新动能</w:t>
      </w:r>
    </w:p>
    <w:p w14:paraId="7188272B">
      <w:pPr>
        <w:spacing w:line="420" w:lineRule="exact"/>
        <w:rPr>
          <w:rFonts w:hint="eastAsia" w:asciiTheme="minorEastAsia" w:hAnsiTheme="minorEastAsia" w:cstheme="minorEastAsia"/>
          <w:sz w:val="24"/>
        </w:rPr>
      </w:pPr>
      <w:r>
        <w:rPr>
          <w:rFonts w:hint="eastAsia" w:asciiTheme="minorEastAsia" w:hAnsiTheme="minorEastAsia" w:cstheme="minorEastAsia"/>
          <w:sz w:val="24"/>
        </w:rPr>
        <w:t>(一)进一步强化思想认识</w:t>
      </w:r>
    </w:p>
    <w:p w14:paraId="0F5385F9">
      <w:pPr>
        <w:spacing w:line="42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1.持续深入学习习近平新时代中国特色社会主义思想。自觉用党的创新理论武装头脑、指导实践、推动工作，提高政治判断力、政治领悟力、政治执行力，牢记“国之大者”，坚持社会主义办学方向，为党育人、为国育才。按照学校党委《关于认真学习贯彻习近平总书记在庆祝中国共产党成立100周年大会上的重要讲话精神的通知》要求，制定《学习贯彻习近平总书记在庆祝中国共产党成立100周年大会上重要讲话精神专题宣讲方案》，分层次开展宣讲，做到全员参与、全面覆盖。组织广大师生深入学习《习近平在福建》，做到真学真懂真信真用，继续办好青年干部、基层党务工作者履职能力提升等专题培训班，努力把学习成果转化为狠抓落实、推动工作的强大动力。</w:t>
      </w:r>
    </w:p>
    <w:p w14:paraId="124763EC">
      <w:pPr>
        <w:spacing w:line="42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2.持续将党史学习教育引向深入。以庆祝中国共产党成立100周年大会为节点，党史学习教育进入了新阶段，要把学习“七一”重要讲话精神作为下半年党史学习教育的核心内容。加强青年教师和学生党史学习教育，上好开学“第一课”，深挖校史中的红色基因，将马立峰、郑代雨等专题片作为面向师生开展党史学习教育的校本教材，深入实施“青年马克思主义者培养工程”，发挥青年政治骨干在党史学习教育中的引领作用。跟踪抓好基层党支部“三个一”活动开展情况，开好党史学习教育专题组织生活会，抓好会后整改工作，列出整改清单，明确整改事项、整改措施和整改时限，确保整改到位。扎实推进“我为师生办实事”实践活动，进一步梳理充实“办实事”的项目清单，坚持“四级联动”实践机制，逐级推进、监督各基层党组织办实事项目落地落实。把学习孙丽美同志先进事迹与开展“再学习、再调研、再落实”活动结合起来，与学习谷文昌、廖俊波等先进典型结合起来，引导广大党员、干部以先进典型为榜样，弘扬伟大建党精神，勇于担当、主动作为。</w:t>
      </w:r>
    </w:p>
    <w:p w14:paraId="57D10CA1">
      <w:pPr>
        <w:spacing w:line="42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3.深入贯彻落实学校第三次党代会精神。扎实推进《福建工程学院第三次党代会报告任务分解方案》，持续攻坚“三大目标”，实施追求高质量、深化优服务、增强新动能“三大方略”，推进增强二级单位活力、提高资源使用效益、完善人才评价体系“三大改革”，夯实思想基础、教学基础、服务基础、数字基础、治理基础“五大基础”；落实好党代会提出的从“新建”向“新型”跨越需要着力实施的“七大任务”以及新时代学校党的建设需要持续推进的“六大要求”。开好校党委三届二次全会，立足办学定位，主动发挥专业学科优势，以服务求支持，以贡献求发展，推动“十四五”开好局、起好步。</w:t>
      </w:r>
    </w:p>
    <w:p w14:paraId="09DE69AA">
      <w:pPr>
        <w:spacing w:line="420" w:lineRule="exact"/>
        <w:rPr>
          <w:rFonts w:hint="eastAsia" w:asciiTheme="minorEastAsia" w:hAnsiTheme="minorEastAsia" w:cstheme="minorEastAsia"/>
          <w:sz w:val="24"/>
        </w:rPr>
      </w:pPr>
      <w:r>
        <w:rPr>
          <w:rFonts w:hint="eastAsia" w:asciiTheme="minorEastAsia" w:hAnsiTheme="minorEastAsia" w:cstheme="minorEastAsia"/>
          <w:sz w:val="24"/>
        </w:rPr>
        <w:t>（二）深入贯彻全面从严治党方针</w:t>
      </w:r>
    </w:p>
    <w:p w14:paraId="348844D3">
      <w:pPr>
        <w:spacing w:line="42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4.坚定不移推进全面从严治党向纵深发展。聚焦“两个维护”，具体化常态化开展政治监督，确保党中央重大决策部署和省委工作要求落实落细。聚焦责任落实，制定落实学校2021年全面从严治党主体责任落实情况检查反馈意见的整改方案，定期研究、部署、检查全面从严治党工作，推动二级单位党委切实做到“把方向、抓育人、带班子、领队伍、聚人才、扬正气”。进一步优化廉政风险防控机制建设，开展学校内设管理机构、教学机构等二级单位一些重点领域和重点岗位的廉政风险点梳理排查和落实防控工作，坚持“严”的主基调，紧盯各项纪律、规矩、规章制度执行，推进整治党员干部不担当、不作为、慢作为、乱作为等形式主义、官僚主义问题。将惩治腐败与深化综合改革、完善工作制度、提高治理水平贯通起来，通过做实以案促改、以案促治等“后半篇文章”，用好“四种形态”，深化标本兼治，一体推进不敢腐、不能腐、不想腐。开展校内政治巡察工作，巩固巡察成果，对照发现问题，深入开展巡察整改和未巡先改工作，教育引导党员干部教师正心修身、涵养正气，营造风清气正的政治生态和良好发展环境。</w:t>
      </w:r>
    </w:p>
    <w:p w14:paraId="6AC5109E">
      <w:pPr>
        <w:spacing w:line="42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5.压紧压实意识形态工作责任</w:t>
      </w:r>
      <w:r>
        <w:rPr>
          <w:rFonts w:hint="eastAsia" w:asciiTheme="minorEastAsia" w:hAnsiTheme="minorEastAsia" w:cstheme="minorEastAsia"/>
          <w:sz w:val="24"/>
          <w:lang w:eastAsia="zh-CN"/>
        </w:rPr>
        <w:t>制</w:t>
      </w:r>
      <w:r>
        <w:rPr>
          <w:rFonts w:hint="eastAsia" w:asciiTheme="minorEastAsia" w:hAnsiTheme="minorEastAsia" w:cstheme="minorEastAsia"/>
          <w:sz w:val="24"/>
        </w:rPr>
        <w:t>。深入学习贯彻《中国共产党宣传工作条例》，严格落实意识形态工作责任制，持续健全和完善意识形态工作体系，牢牢掌握意识形态工作的领导权、主动权和话语权。严格执</w:t>
      </w:r>
      <w:bookmarkStart w:id="1" w:name="_GoBack"/>
      <w:bookmarkEnd w:id="1"/>
      <w:r>
        <w:rPr>
          <w:rFonts w:hint="eastAsia" w:asciiTheme="minorEastAsia" w:hAnsiTheme="minorEastAsia" w:cstheme="minorEastAsia"/>
          <w:sz w:val="24"/>
        </w:rPr>
        <w:t>行“一会一报”“一事一报”制度，加强学术领域管理；不断完善7*24小时网络在线监测机制，加强网络舆情管理；深化校园网络文化建设，强化校园网络安全，加强网评员队伍建设，守好网络意识形态阵地，坚决抵制防范错误思潮在校园传播；强化督查考评，开展年度校内意识形态工作专项督查，将意识形态工作作为重要内容纳入下半年校内巡察工作。</w:t>
      </w:r>
    </w:p>
    <w:p w14:paraId="251B5F8E">
      <w:pPr>
        <w:spacing w:line="42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6.全力提升党建工作质量。深入学习贯彻《中国共产党组织工作条例》和《中国共产党普通高等学校基层组织工作条例》，扎实推进新时代党的建设总要求和新时代党的组织路线，按照《福建工程学院贯彻落实&lt;关于加强高校党的政治建设的若干措施&gt;任务清单》要求，全面梳理规范学校党建工作，持续开展“对标争先”计划，制定“全省党建工作培育创建高校”建设方案，对基层党组织“学习·诊断·建设”行动进行全面总结。推进基层党组织换届工作，建立基层党组织任期管理台账，督促二级单位党委、党总支、党支部严格按照《中国共产党基层组织选举工作条例》组织开展换届选举工作，进一步提升“双带头人”制度落实质量，全面优化学生党支部的组成结构，着力推进党建“三进”工作和党支部共建活动。稳步推进干部选任（聘）、交流调整工作，分级分类抓好党员、干部教育管理，进一步推进学校教育治理体系和治理能力现代化。</w:t>
      </w:r>
    </w:p>
    <w:p w14:paraId="262DA2A1">
      <w:pPr>
        <w:spacing w:line="420" w:lineRule="exact"/>
        <w:rPr>
          <w:rFonts w:hint="eastAsia" w:asciiTheme="minorEastAsia" w:hAnsiTheme="minorEastAsia" w:cstheme="minorEastAsia"/>
          <w:sz w:val="24"/>
        </w:rPr>
      </w:pPr>
      <w:r>
        <w:rPr>
          <w:rFonts w:hint="eastAsia" w:asciiTheme="minorEastAsia" w:hAnsiTheme="minorEastAsia" w:cstheme="minorEastAsia"/>
          <w:sz w:val="24"/>
        </w:rPr>
        <w:t>（三）全面落实立德树人根本任务</w:t>
      </w:r>
    </w:p>
    <w:p w14:paraId="3FC4BE60">
      <w:pPr>
        <w:spacing w:line="42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7.进一步强化思想引领。开展党的教育方针贯彻落实专项行动，落实学校“三全育人”综合改革建设方案，深入开展“四史”学习教育，持续推进“三个文明”建设，实施“辅导员能力素质提升计划”，举办辅导员职业技能大赛，进一步加强班导师的培训与考核。以“三力一度”工作布局为抓手，组织开展“青春领航”“青春成才”“青春护航”“青春强基”四大工程，逐步实施“第二课堂成绩单”制度，推动第一课堂和第二课堂深度融合，做好新生军训与在校大学生征兵工作，全方位构建“三全育人”思政工作大格局。大力推动“思政课程”与“课程思政”建设，持续完善马克思主义理论学科布局，推进“教学工作坊”机制，邀请各类专家、学者走进思政课堂。落实好《福建工程学院课程思政建设实施方案》，优化“三大目标、四个原则、五项举措”的课程思政工作体系，推进课程思政 “五个一”建设工程，打造“匠心中国”系列课程思政“金课”。做好与新华网共建课程思政研究中心工作，推进课程思政建设工作以点带面，以强带弱，推动课程思政在每一个专业，每一门课程落实落细。</w:t>
      </w:r>
    </w:p>
    <w:p w14:paraId="79C83214">
      <w:pPr>
        <w:spacing w:line="42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8.进一步加强师德师风建设。按照教育部《关于在教育系统开展师德专题教育的通知》要求，组织各级各类教师深入学习贯彻习近平总书记关于“三个牢固树立”、“四有”好老师、“四个引路人”“四个相统一”“六要”等重要论述精神，将师德师风建设工作落实情况纳入党建工作责任制、纳入领导班子、领导干部目标管理、纳入干部考核、纳入监督执纪问责等范畴，召开师德师风专题教育部署会，开展“师德师风建设月”活动，定期组织“师情”分析，把师德师风的教育与管理融入日常教学、科研和学科建设工作中，建立健全教师思想心理动态的监测预警与引导帮扶机制，推动师德师风建设常态化长效化。</w:t>
      </w:r>
    </w:p>
    <w:p w14:paraId="103614DE">
      <w:pPr>
        <w:spacing w:line="42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9.进一步汇聚干事创业的强大合力。继续深入学习宣传贯彻《中国共产党统一战线工作条例》和福建省委的《实施意见》，加强党对统战工作的集中统一领导，进一步健全和完善统战工作机制，构建大统战工作格局。支持民主党派、统战团体加强自身建设，协助做好民主党派和统战团体的换届选举工作。加强新时代民族团结进步教育，抵御和防范校园宗教渗透。加强港澳台侨及留学归国人员的教育引导，充分发挥台籍教师在学校教学科研工作中的重要作用。贯彻落实省政协挂钩帮扶工作座谈会精神，有序推进帮扶工作落地见效。加强教代会、工会、共青团工作，组织召开好学校三届一次“双代会”和共青团福建工程学院委员会四届三次全体会议。探索新形势下离退休教职工服务管理的有效途径，充分发挥老同志的重要作用。巩固深化文明创建成果，以获得第二届省级文明校园为契机，启动新一届文明校园创建工作，找差距、补短板，不断提升文明创建内涵和水平，以文明创建成效助推学校事业发展。</w:t>
      </w:r>
    </w:p>
    <w:p w14:paraId="05CB35D6">
      <w:pPr>
        <w:spacing w:line="420" w:lineRule="exact"/>
        <w:rPr>
          <w:rFonts w:hint="eastAsia" w:asciiTheme="minorEastAsia" w:hAnsiTheme="minorEastAsia" w:cstheme="minorEastAsia"/>
          <w:sz w:val="24"/>
        </w:rPr>
      </w:pPr>
      <w:r>
        <w:rPr>
          <w:rFonts w:hint="eastAsia" w:asciiTheme="minorEastAsia" w:hAnsiTheme="minorEastAsia" w:cstheme="minorEastAsia"/>
          <w:sz w:val="24"/>
        </w:rPr>
        <w:t>二、绘制开局新蓝图，协同推进服务新时代新福建建设和学校高质量发展</w:t>
      </w:r>
    </w:p>
    <w:p w14:paraId="5FDCF429">
      <w:pPr>
        <w:spacing w:line="420" w:lineRule="exact"/>
        <w:rPr>
          <w:rFonts w:hint="eastAsia" w:asciiTheme="minorEastAsia" w:hAnsiTheme="minorEastAsia" w:cstheme="minorEastAsia"/>
          <w:sz w:val="24"/>
        </w:rPr>
      </w:pPr>
      <w:r>
        <w:rPr>
          <w:rFonts w:hint="eastAsia" w:asciiTheme="minorEastAsia" w:hAnsiTheme="minorEastAsia" w:cstheme="minorEastAsia"/>
          <w:sz w:val="24"/>
        </w:rPr>
        <w:t>（一）做好“十四五”规划顶层设计，推进更名大学等各项工作</w:t>
      </w:r>
    </w:p>
    <w:p w14:paraId="3A8FA32F">
      <w:pPr>
        <w:spacing w:line="42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10.继续抓好学校“十四五”规划编制与实施工作。进一步修订完善学校“十四五”发展规划、各专项规划及二级学院子规划；制定规划实施方案，抓好规划任务的责任分解，明确责任部门、责任人与完成时限，确保规划落到实处。制定福建工程学院服务《加快推进福州地区大学城高质量发展三年行动计划（2021-2023）》规划草案。做好申请列入省“十四五”高校设置规划工作。开展好大学设置标准办学指标核查，夯实做细相关支撑材料，确保办学指标数据整合、备查支撑材料收集整理等工作按时落实到位，全力做好更名“大学”各项筹备工作，扎实落实更名“大学”工作实施方案。</w:t>
      </w:r>
    </w:p>
    <w:p w14:paraId="33741732">
      <w:pPr>
        <w:spacing w:line="420" w:lineRule="exact"/>
        <w:rPr>
          <w:rFonts w:hint="eastAsia" w:asciiTheme="minorEastAsia" w:hAnsiTheme="minorEastAsia" w:cstheme="minorEastAsia"/>
          <w:sz w:val="24"/>
        </w:rPr>
      </w:pPr>
      <w:r>
        <w:rPr>
          <w:rFonts w:hint="eastAsia" w:asciiTheme="minorEastAsia" w:hAnsiTheme="minorEastAsia" w:cstheme="minorEastAsia"/>
          <w:sz w:val="24"/>
        </w:rPr>
        <w:t>（二）持续提升人才培养质量和水平</w:t>
      </w:r>
    </w:p>
    <w:p w14:paraId="07AA99D5">
      <w:pPr>
        <w:spacing w:line="42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11.以评估认证为抓手，持续提高本科人才培养质量。以审核评估“以评促建、以评促改”为抓手，持续完善校内本科教学质量保障体系建设，将质量意识、质量标准、质量评价、质量管理落实到人才培养各环节；狠抓本科教学规章制度落实，规范本科教学管理全过程、各阶段，严管严抓教学秩序，规范日常教学运行，持续夯实基本质量和基本规范，提高毕业生就业市场竞争力，推动高质量就业。大力推进教学绩效改革，推动二级学院开展教学基本质量保障提升。开展“千班千课”学情分析活动，推进“以教为主”向“以学为主”转变。</w:t>
      </w:r>
    </w:p>
    <w:p w14:paraId="36DC2A7D">
      <w:pPr>
        <w:spacing w:line="42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以专业认证评估为抓手，持续推进高基准的教育教学质量建设。督促二级学院制订基于成果导向（OBE）的专业教学质量评价与监控实施细则并落实落地。组织电子信息工程专业做好中国工程教育专业认证申请工作；组织环境工程、电气工程及其自动化、通信工程等3个专业进一步自查薄弱环节；做好已通过认证评估专业的年度或中期检查工作。</w:t>
      </w:r>
    </w:p>
    <w:p w14:paraId="3756DA66">
      <w:pPr>
        <w:spacing w:line="42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12.以一流专业、一流课程建设，促进本科人才培养水平的进一步提升。加快形成“国家级-省级”一流本科专业建设实施体系，力争2021年新增若干个国家级、省级一流专业。推动学校“十百千”一流课程建设计划，争取获批若干国家级、省级一流课程。以专业改革创新为主题，推进新工科、新文科建设。进一步优化专业结构布局，做好智慧交通、人工智能、非物质文化遗产保护等新工科、新文科专业的申报和工业工程、智能科学与技术等专业的调整工作。培育壮大物联网、微电子、数据科学与大数据、网络空间安全等新工科专业。立足国家对科技创新和科技自立自强定位的新高度，深化三创教育培养体系的改革，扩大学科竞赛的覆盖面，重点支持具有影响力、能够提升学生三创能力的竞赛项目，完善学科竞赛绩效评价机制。积极开拓学科竞赛经费来源和资助渠道。</w:t>
      </w:r>
    </w:p>
    <w:p w14:paraId="1A053E7E">
      <w:pPr>
        <w:spacing w:line="42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13.加强研究生教育，确保研究生培养质量。做好2022年硕士研究生招生专业目录编制、招生计划数论证、入学考试报考等工作，持续扩大研究生培养规模。加强导师学习、交流和培训，提高导师的综合素质和学术水平，整合和优化研究生导师资源。严把学位论文的开题关、中期检查关、预答辩关，增加研究生教学督导队伍的力量，增聘督导教师3名。做好研究生教学成果奖、课程思政示范课、优秀教材和教学案例库的培育工作。</w:t>
      </w:r>
    </w:p>
    <w:p w14:paraId="563B2D88">
      <w:pPr>
        <w:spacing w:line="420" w:lineRule="exact"/>
        <w:rPr>
          <w:rFonts w:hint="eastAsia" w:asciiTheme="minorEastAsia" w:hAnsiTheme="minorEastAsia" w:cstheme="minorEastAsia"/>
          <w:sz w:val="24"/>
        </w:rPr>
      </w:pPr>
      <w:r>
        <w:rPr>
          <w:rFonts w:hint="eastAsia" w:asciiTheme="minorEastAsia" w:hAnsiTheme="minorEastAsia" w:cstheme="minorEastAsia"/>
          <w:sz w:val="24"/>
        </w:rPr>
        <w:t>（三）立足博士授予单位建设，推进学科建设、科研创新、高层次人才队伍再上新水平</w:t>
      </w:r>
    </w:p>
    <w:p w14:paraId="374E985E">
      <w:pPr>
        <w:spacing w:line="42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14.持续推进博士授予单位的建设。强化博士授予单位建设工作，成立“申博”工作小组和“申博”办公室，制定“申博”工作方案，对标对表“申博”工作，集中资源，补齐短板。持续推进一级学科博士学位培育点建设。</w:t>
      </w:r>
    </w:p>
    <w:p w14:paraId="5D381F72">
      <w:pPr>
        <w:spacing w:line="42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立足硕士学位点布局与建设，推动高原学科建设，支撑博士授予单位建设。加强现有5个一级学科硕士点、11个专业学位硕士点和新增硕士点的建设，扎实做好教育部硕士点周期性评估和专项评估工作。</w:t>
      </w:r>
    </w:p>
    <w:p w14:paraId="4D1B3553">
      <w:pPr>
        <w:spacing w:line="42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15.适应博士授予单位建设的需要，推进高层次人才队伍建设和科研创新。紧紧围绕博士授予单位建设，加强高层次人才队伍建设，加大具有博士学位教师的引进力度，努力提升学校博士学位授予单位申报的师资队伍各项指标。围绕博士学位点培育、硕士学位点的布局，打造重点学科方向的学术团队，引进和培养学术带头人和学术骨干，培育标志性的科研创新平台、课题项目和成果，弥补博士学位授予单位建设、博士学位点培育的短板和弱项。</w:t>
      </w:r>
    </w:p>
    <w:p w14:paraId="27D993FC">
      <w:pPr>
        <w:spacing w:line="420" w:lineRule="exact"/>
        <w:rPr>
          <w:rFonts w:hint="eastAsia" w:asciiTheme="minorEastAsia" w:hAnsiTheme="minorEastAsia" w:cstheme="minorEastAsia"/>
          <w:sz w:val="24"/>
        </w:rPr>
      </w:pPr>
      <w:r>
        <w:rPr>
          <w:rFonts w:hint="eastAsia" w:asciiTheme="minorEastAsia" w:hAnsiTheme="minorEastAsia" w:cstheme="minorEastAsia"/>
          <w:sz w:val="24"/>
        </w:rPr>
        <w:t>（四）服务新时代新福建建设，夯实服务基础，深化优服务</w:t>
      </w:r>
    </w:p>
    <w:p w14:paraId="610EF46D">
      <w:pPr>
        <w:spacing w:line="42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16.适应新时代新福建建设的需求，赋予学科专业以新内涵，突显服务地方的应用型办学特色。根据服务我省全方位高质量发展超越、探索海峡两岸融合发展新路、“四个更大”和“四项重点任务”等需要，面向福建省“十四五”规划的重点建设领域，主动优化学科专业结构布局，更新学科专业的内涵。谋划建设面向储能科学、能源材料、数字技术、海洋科学、碳达峰和碳中和等体现行业前沿、技术导向变革趋势的新兴专业方向；注重对新一代电子信息、生态环保、文化创意、数字经济等支柱产业和战略性新兴产业发展紧密相关的学科专业，进行特色化培育。</w:t>
      </w:r>
    </w:p>
    <w:p w14:paraId="15C3D730">
      <w:pPr>
        <w:spacing w:line="42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推进5个现代产业学院的产教融合深度发展，积极推动土木学院及其他新兴专业和行业龙头企业共建现代产业学院。做好京东实验班等5个行业工程师实验班的年度评估和总结，及时改进和优化实验班培养模式和方案。</w:t>
      </w:r>
    </w:p>
    <w:p w14:paraId="1522FAE5">
      <w:pPr>
        <w:spacing w:line="42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17.以科研创新引擎驱动，提升服务数字福建、海洋福建、绿色经济等发展战略的建设能力。持续推动与龙头企业政产学研用合作，联合开展关键核心技术和共性技术攻关。深化与地方政府合作，针对区域经济社会高质量发展需求，提供产业发展规划、政策咨询和信息服务，加强与区域内企业的产学研合作，提供高质量、全方位的科技服务。加强福建省地方文献整理研究中心、民营企业发展研究中心和福建省民族宗教文化信息数字基地等建设。全面助推乡村振兴，促进农村基础设施提挡升级。继续参与历史建筑和传统风貌建筑的固态保护、活态传承、业态提升。</w:t>
      </w:r>
    </w:p>
    <w:p w14:paraId="79FFEE57">
      <w:pPr>
        <w:spacing w:line="420" w:lineRule="exact"/>
        <w:rPr>
          <w:rFonts w:hint="eastAsia" w:asciiTheme="minorEastAsia" w:hAnsiTheme="minorEastAsia" w:cstheme="minorEastAsia"/>
          <w:sz w:val="24"/>
        </w:rPr>
      </w:pPr>
      <w:r>
        <w:rPr>
          <w:rFonts w:hint="eastAsia" w:asciiTheme="minorEastAsia" w:hAnsiTheme="minorEastAsia" w:cstheme="minorEastAsia"/>
          <w:sz w:val="24"/>
        </w:rPr>
        <w:t>（五）适应新一轮科技革命和产业变革的新特征，推动服务地方和学校高质量发展</w:t>
      </w:r>
    </w:p>
    <w:p w14:paraId="6A6786EC">
      <w:pPr>
        <w:spacing w:line="42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18.围绕具有引领性作用的领域，加强相关的基础性建设，促进学科专业的相互渗透与融合。围绕现代信息技术、新材料、现代生物技术、先进制造技术等具有引领性作用的领域，加强相关学科专业建设。依托福建省北斗导航与智慧交通协同创新中心和福建省大数据挖掘与应用技术重点实验室，开展交通大数据资源汇聚与应用服务产业化推广和实施“上云用数赋智”行动等。依托福建省新材料制备与成型技术重点实验室，开展海洋不锈钢材料、新能源材料的研究和开发。依托智能制造产业学院，推进茶叶机械智能化研究、锂电池装备制造研究、海工装备研究等。主动识别导入现代信息技术、新材料、生物技术、先进制造技术对土木类、生态环保类等学科专业的渗透，进一步优化课程体系，提高人才培养与时代发展的契合度。顺应数字化发展趋势，加快法学、新闻、会计等专业的改革，积极推动人工智能、大数据等现代信息技术与文科专业深度融合。</w:t>
      </w:r>
    </w:p>
    <w:p w14:paraId="20B00DBD">
      <w:pPr>
        <w:spacing w:line="42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19.强化信息化建设，改革教育教学模式。 持续推进现代信息技术与教育教学全过程融入，建立后疫情时代常态化的混合式翻转课堂教学模式，所有课程都允许40%以内学时开展线上教学和课堂翻转，发挥学生学习自主性。推动专业课程线上无纸化考试探索，推动过程性、多元化考试考核模式改革。进一步健全校外实践实习、毕业设计（论文）、考试服务等线上管理机制。</w:t>
      </w:r>
    </w:p>
    <w:p w14:paraId="1D0BC4C2">
      <w:pPr>
        <w:spacing w:line="42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20.加强学生的数字素养和数字能力培养。以专业作为数字化能力培养的载体，培养学生数字意识、数字知识、数字应用能力、数字信息安全与伦理等数字素养和能力。推进2022版本科专业人才培养方案编制中加强对数字素养和能力的要求，充分吸收现代科学、技术、工程等领域数字化、信息化发展成果，在专业能力的培养中不断深化数字能力的培养；加强数字能力培养与思维能力、实体空间的实践能力培养的紧密结合；注重教师教学模式、学生学习模式的数字化改革，促进学生学习效率和学习效果的提升。</w:t>
      </w:r>
    </w:p>
    <w:p w14:paraId="678809AF">
      <w:pPr>
        <w:spacing w:line="42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21.以现代信息技术为引领，夯实数字基础。积极落实“四个一”建设任务。不断增强校园核心网络安全性和稳定性，扩容建设校园云计算平台，为校园信息化建设提供基础支撑平台。开展智慧校园信息化支撑平台建设，进行相关信息管理系统升级、改造，推进移动校园建设。充分运用“互联网+校务服务”，推动管理流程再造和服务优化，实现师生服务事项件件线上办理，提升师生部门办事满意度和获得感。</w:t>
      </w:r>
    </w:p>
    <w:p w14:paraId="68E87C27">
      <w:pPr>
        <w:spacing w:line="420" w:lineRule="exact"/>
        <w:rPr>
          <w:rFonts w:hint="eastAsia" w:asciiTheme="minorEastAsia" w:hAnsiTheme="minorEastAsia" w:cstheme="minorEastAsia"/>
          <w:sz w:val="24"/>
        </w:rPr>
      </w:pPr>
      <w:r>
        <w:rPr>
          <w:rFonts w:hint="eastAsia" w:asciiTheme="minorEastAsia" w:hAnsiTheme="minorEastAsia" w:cstheme="minorEastAsia"/>
          <w:sz w:val="24"/>
        </w:rPr>
        <w:t>六）担当新使命，提升教育国际化水平和闽台教育交流</w:t>
      </w:r>
    </w:p>
    <w:p w14:paraId="39EFCE7E">
      <w:pPr>
        <w:spacing w:line="42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22.稳步推进国际学生的招生工作，做好中国政府、福建省政府、学校奖学金学生的选拔工作，重点招收“一带一路”沿线国家的攻读硕士学位生源，进一步扩大招生宣传，拓展境内国际学生生源。探索成班级建制的自费来华留学生招生，稳步推进中外合作办学项目申报和中外合作办学机构共建；拓展硕士联合培养项目,争取派出1-3名硕士生及10名本科生赴合作院校交流。拓展与台湾合作院校的硕士生交流项目，争取派出2-4名硕士生赴台交流。加强与台湾知名私立大学的合作与交流，争取更多的优质台湾教育资源，推动申报闽台合作“4+0”新项目。</w:t>
      </w:r>
    </w:p>
    <w:p w14:paraId="3FD187F2">
      <w:pPr>
        <w:spacing w:line="420" w:lineRule="exact"/>
        <w:rPr>
          <w:rFonts w:hint="eastAsia" w:asciiTheme="minorEastAsia" w:hAnsiTheme="minorEastAsia" w:cstheme="minorEastAsia"/>
          <w:sz w:val="24"/>
        </w:rPr>
      </w:pPr>
      <w:r>
        <w:rPr>
          <w:rFonts w:hint="eastAsia" w:asciiTheme="minorEastAsia" w:hAnsiTheme="minorEastAsia" w:cstheme="minorEastAsia"/>
          <w:sz w:val="24"/>
        </w:rPr>
        <w:t>三、聚焦发展资源要素，加强对服务地方和学校高质量发展的支撑保障</w:t>
      </w:r>
    </w:p>
    <w:p w14:paraId="64593663">
      <w:pPr>
        <w:spacing w:line="420" w:lineRule="exact"/>
        <w:rPr>
          <w:rFonts w:hint="eastAsia" w:asciiTheme="minorEastAsia" w:hAnsiTheme="minorEastAsia" w:cstheme="minorEastAsia"/>
          <w:sz w:val="24"/>
        </w:rPr>
      </w:pPr>
      <w:r>
        <w:rPr>
          <w:rFonts w:hint="eastAsia" w:asciiTheme="minorEastAsia" w:hAnsiTheme="minorEastAsia" w:cstheme="minorEastAsia"/>
          <w:sz w:val="24"/>
        </w:rPr>
        <w:t>（一）推动发展方式转变和动能转换，增强新动能</w:t>
      </w:r>
    </w:p>
    <w:p w14:paraId="4D886E3F">
      <w:pPr>
        <w:spacing w:line="42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23.加强财务预算收支管理。积极争取上级财政支持，申请专项资金、地方政府债券等。进一步完善社会服务收入管理办法等资金管理制度，完善预算管理体制机制，实施预算绩效管理，充分发挥预算对业务的引领作用。</w:t>
      </w:r>
    </w:p>
    <w:p w14:paraId="05FA5183">
      <w:pPr>
        <w:spacing w:line="42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坚持过紧日子的思想，严格把关“三公”经费支出，推行无纸化办公，持续降低办公成本，推进节约型校园建设。充分发挥福建省节水教育示范基地的引领示范作用，全面推动节水型校园建设，加强绿色校园建设，开展节能改造，提升校园能源使用效率。</w:t>
      </w:r>
    </w:p>
    <w:p w14:paraId="6F15D445">
      <w:pPr>
        <w:spacing w:line="42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24.提高开放办学水平，增强谋取社会资源的能力。积极推进科研创新大平台、大项目、大团队的培育与建设，带动广大教师提高科研能力和水平，推动发展方式的根本性转变。通过加强产学研合作，拓展社会服务领域，积极探索与政府、企业、行业、区域协同创新模式，完善与区域产学研合作共建机制，积极为地方政府提供政策咨询服务、为地方企事业单位提供人才培训和技术服务。发挥省级技术转移机构和新技术研究院的作用，大力提升科技成果转移转化。</w:t>
      </w:r>
    </w:p>
    <w:p w14:paraId="337D586C">
      <w:pPr>
        <w:spacing w:line="42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充分利用学校学科专业优势，积极为区域经济社会需要提供举办高水平工程师、高技能人才培养培训，做好成人教育工作，争取更多的办学收入。</w:t>
      </w:r>
    </w:p>
    <w:p w14:paraId="6AB5FCBA">
      <w:pPr>
        <w:spacing w:line="42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完善校友工作体系和校院、校地等校友工作网络，健全校友组织体系；完善校友信息数据库，加强校友资源的综合开发和利用；积极开展校史研究、校友讲坛等活动，精心打造“校友论坛”等文化品牌；推进校友中心建设，为广大校友提供全方位和个性化服务，增强校友意识，积极争取校友支持办学。</w:t>
      </w:r>
    </w:p>
    <w:p w14:paraId="62AD4F13">
      <w:pPr>
        <w:spacing w:line="42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25.加强办学资源充分利用。统筹规划实验室建设管理，做好大型仪器设备信息采集，制订开放服务收费管理办法和维修基金使用管理办法，扩大开放共享收费服务范围。探索校内大仪建设效益评估和约束机制。提高资产使用效益，进一步盘活学校闲置固定资产，制定校内资源分配核算制度，推动校内资源有偿使用。加强学校公用房的统一管理和合理使用，提升周转房规范化管理和专家公寓楼管理水平，完成鳝溪校区周转房清理工作。</w:t>
      </w:r>
    </w:p>
    <w:p w14:paraId="2DBF6E23">
      <w:pPr>
        <w:spacing w:line="420" w:lineRule="exact"/>
        <w:rPr>
          <w:rFonts w:hint="eastAsia" w:asciiTheme="minorEastAsia" w:hAnsiTheme="minorEastAsia" w:cstheme="minorEastAsia"/>
          <w:sz w:val="24"/>
        </w:rPr>
      </w:pPr>
      <w:r>
        <w:rPr>
          <w:rFonts w:hint="eastAsia" w:asciiTheme="minorEastAsia" w:hAnsiTheme="minorEastAsia" w:cstheme="minorEastAsia"/>
          <w:sz w:val="24"/>
        </w:rPr>
        <w:t>（二）夯实高质量发展基础</w:t>
      </w:r>
    </w:p>
    <w:p w14:paraId="23F0ED36">
      <w:pPr>
        <w:spacing w:line="42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26.加强教师队伍建设，深化人事制度改革。完善师资培训体系和教师培养办法，加强教师管理、服务专业化能力及教师数字化能力培养。实施“高水平团队培育工程”，培育省级以上教学科研团队。加强优秀人才选拔工作，力争培养选拨入选省级高层次人才全年20名以上；继续实施“苍霞学者”奖励计划，加大对现有拔尖人才的培养。</w:t>
      </w:r>
    </w:p>
    <w:p w14:paraId="6CC908CE">
      <w:pPr>
        <w:spacing w:line="42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深化人事制度改革，完善教职工干事创业激励机制。以二级单位或团队为绩效考核重点，从按“人数”向按“岗位数”和“贡献度”管理转变。强化岗位责任风险与业绩贡献导向，绩效工资分配向“重要岗位”、高层次人才、业务骨干和做出突出成绩的人员倾斜。完善岗位聘用、管理和晋升机制，修订《岗位聘用与管理实施方案》，优化岗位设置。加强机构设置、岗位编制和人员调配管理，探索退出机制，探索管理服务人员“职级与职务”、辅导员队伍“职称与职级”双线晋升制度。</w:t>
      </w:r>
    </w:p>
    <w:p w14:paraId="7763BF05">
      <w:pPr>
        <w:spacing w:line="42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27.夯实学校治理基础。改革教师考核与评价机制，破除“五唯”，建立符合不同学科、不同领域、不同岗位等特点的差异化评价标准。增强二级学院自身“造血”功能，加大二级单位绩效工资分配权。进一步完善内控机制建设，对各单位内控机制实施过程开展日常监督和专项检查。强化行政效能建设的组织领导、日常管理和督促检查。完善信息公开和效能评估，梳理优化各项业务流程，简化审批流程，提高办公数字化、智慧化水平，提高办事效率，增强行政效能。</w:t>
      </w:r>
    </w:p>
    <w:p w14:paraId="48A40A24">
      <w:pPr>
        <w:spacing w:line="42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28.推进旗山校区基本建设。有序推进生物化学研究院、信息中心等建设项目，分批次推进学生公寓基础设施更新。进一步提升校园景观环境，融合旗山湖整体规划，分步启动旗山校区北区中轴线景观及南北入口大门工程、北区沿旗山湖周边建筑景观提升工程、南区坛浦山山体整治及周边景观工程，推进旗山湖共建共享。实施鳝溪校区总平规划调整。</w:t>
      </w:r>
    </w:p>
    <w:p w14:paraId="5825F380">
      <w:pPr>
        <w:spacing w:line="42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29.加强文献资源建设，构建重点突出、保障有力的文献资源体系。推进智慧图书馆建设。开展师生自助式采购的苍霞智选图书平台建设。启动图书馆数据及服务系统向信息中心平台迁移工作。优化鳝溪校区分馆阅读和学习环境。继续推进“琴南书院”续建工作，拓展收藏渠道，丰富林纾相关文献和藏品。</w:t>
      </w:r>
    </w:p>
    <w:p w14:paraId="42FB48F8">
      <w:pPr>
        <w:spacing w:line="42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30.提升后勤服务保障能力。深入推进职工生活区物业社会化改革工作，提升小区管理水平。完成旗山校区、鳝溪校区物业招标和交接工作。落实零星修缮基础工作，抓好应急抢修项目和大型设备维护保养工作。持续巩固福州市委碧水保卫战专项巡察反馈意见整改成果，强力推进我校污水排放治理工作。开展校园生活垃圾分类工作，实现全覆盖。推进旗山校区医务室医疗服务活动委托管理工作，构建学校与医院的合作帮扶与转诊联动机制，保证师生医疗服务。</w:t>
      </w:r>
    </w:p>
    <w:p w14:paraId="3D2B3945">
      <w:pPr>
        <w:spacing w:line="420" w:lineRule="exact"/>
        <w:rPr>
          <w:rFonts w:hint="eastAsia" w:asciiTheme="minorEastAsia" w:hAnsiTheme="minorEastAsia" w:cstheme="minorEastAsia"/>
          <w:sz w:val="24"/>
        </w:rPr>
      </w:pPr>
      <w:r>
        <w:rPr>
          <w:rFonts w:hint="eastAsia" w:asciiTheme="minorEastAsia" w:hAnsiTheme="minorEastAsia" w:cstheme="minorEastAsia"/>
          <w:sz w:val="24"/>
        </w:rPr>
        <w:t>（三）统筹安全稳定与事业发展</w:t>
      </w:r>
    </w:p>
    <w:p w14:paraId="3E40EA7A">
      <w:pPr>
        <w:spacing w:line="42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31.做好疫情常态化防控工作。贯彻落实党中央、国务院决策部署和省委、省政府工作要求，做好疫情常态化防控工作，做到疫情防控常态化工作和维护校园稳定同部署同落实，全力保障师生身体健康和生命安全。完善落实“两案九制”，加强师生日常教育管理，增强师生安全防范意识，实施健康教育行动，引导师生养成良好的学习生活习惯。继续实行“日报告”“零报告”，落实好晨午检、因病追踪、请销假制度等。深化校地联防联控、畅通家校联系，及时了解掌握师生身心健康状况。组织好疫情演练，做好核酸检测工作，加密重点岗位、重点人群核酸检测频次，确保重点人群应检尽检。加快推进疫苗接种，确保实现除禁忌症外应种尽种任务。</w:t>
      </w:r>
    </w:p>
    <w:p w14:paraId="5B701F10">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32.维护校园安全稳定。牢固树立安全工作红线意识，按照“党政同责、一岗双责、齐抓共管、失职追责”和安全生产“三个必须”的要求，压紧压实安全主体责任，定期研判学校安全管理风险，准确掌握安全工作存在的突出问题和制度漏洞。健全完善“疫情防控+校园安全”长效工作机制，开展新一轮“平安校园”与“平安单位”创建工作，推进学校扫黑除恶斗争常态化工作，深化学校安全专项整治三年行动集中攻坚，定期开展校园安全检查，完善学校应急演练机制，强化危化品安全管理，持续提升校园整体安全防范能力和师生员工安全素养。开展实验室安全教育、宣传和培训，完善学校各类实验室安全管理制度，推动实验室安全奖惩与问责追责制度和安全准入制度的实际执行效用，促进实验室安全体系制度化建设水平再提升。做好食堂数字食安平台建设和食堂采购源头管理，推进校园食品安全守护行动，严格食品安全全过程监管，严格把好食品安全关。</w:t>
      </w:r>
    </w:p>
    <w:p w14:paraId="3BB6FE49">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444048"/>
      <w:docPartObj>
        <w:docPartGallery w:val="autotext"/>
      </w:docPartObj>
    </w:sdtPr>
    <w:sdtContent>
      <w:p w14:paraId="501E1A3C">
        <w:pPr>
          <w:pStyle w:val="6"/>
          <w:jc w:val="center"/>
        </w:pPr>
        <w:r>
          <w:fldChar w:fldCharType="begin"/>
        </w:r>
        <w:r>
          <w:instrText xml:space="preserve">PAGE   \* MERGEFORMAT</w:instrText>
        </w:r>
        <w:r>
          <w:fldChar w:fldCharType="separate"/>
        </w:r>
        <w:r>
          <w:rPr>
            <w:lang w:val="zh-CN"/>
          </w:rPr>
          <w:t>2</w:t>
        </w:r>
        <w:r>
          <w:fldChar w:fldCharType="end"/>
        </w:r>
      </w:p>
    </w:sdtContent>
  </w:sdt>
  <w:p w14:paraId="2DE15B52">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EC6B3">
    <w:pPr>
      <w:pStyle w:val="7"/>
      <w:jc w:val="center"/>
    </w:pPr>
  </w:p>
  <w:p w14:paraId="3A79B012">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CF1"/>
    <w:rsid w:val="00006B21"/>
    <w:rsid w:val="00011199"/>
    <w:rsid w:val="0002260F"/>
    <w:rsid w:val="000256A7"/>
    <w:rsid w:val="000274BA"/>
    <w:rsid w:val="00031A4D"/>
    <w:rsid w:val="000338B2"/>
    <w:rsid w:val="00041166"/>
    <w:rsid w:val="0004777D"/>
    <w:rsid w:val="000619E2"/>
    <w:rsid w:val="00062717"/>
    <w:rsid w:val="000870E1"/>
    <w:rsid w:val="000A4291"/>
    <w:rsid w:val="000A5708"/>
    <w:rsid w:val="000D4AE1"/>
    <w:rsid w:val="000D6347"/>
    <w:rsid w:val="000D7B97"/>
    <w:rsid w:val="000E6CE2"/>
    <w:rsid w:val="0010636E"/>
    <w:rsid w:val="00107493"/>
    <w:rsid w:val="00154710"/>
    <w:rsid w:val="001704ED"/>
    <w:rsid w:val="00175F12"/>
    <w:rsid w:val="00180694"/>
    <w:rsid w:val="001855FC"/>
    <w:rsid w:val="001A2C98"/>
    <w:rsid w:val="001B2CD5"/>
    <w:rsid w:val="001B4673"/>
    <w:rsid w:val="001C65B6"/>
    <w:rsid w:val="001C66B2"/>
    <w:rsid w:val="001D25F3"/>
    <w:rsid w:val="001E07B6"/>
    <w:rsid w:val="001E2535"/>
    <w:rsid w:val="001E3B72"/>
    <w:rsid w:val="001E4DC9"/>
    <w:rsid w:val="001F44DE"/>
    <w:rsid w:val="001F765C"/>
    <w:rsid w:val="001F7CDF"/>
    <w:rsid w:val="002141C4"/>
    <w:rsid w:val="00217F6C"/>
    <w:rsid w:val="002307B2"/>
    <w:rsid w:val="002316E2"/>
    <w:rsid w:val="0025065F"/>
    <w:rsid w:val="00250A4B"/>
    <w:rsid w:val="00280D5E"/>
    <w:rsid w:val="002815D1"/>
    <w:rsid w:val="002A71C6"/>
    <w:rsid w:val="002B3DB5"/>
    <w:rsid w:val="002B78F4"/>
    <w:rsid w:val="002D2381"/>
    <w:rsid w:val="002D2955"/>
    <w:rsid w:val="002F03E6"/>
    <w:rsid w:val="002F0EF8"/>
    <w:rsid w:val="003022DD"/>
    <w:rsid w:val="0031247A"/>
    <w:rsid w:val="00312B85"/>
    <w:rsid w:val="00320A8D"/>
    <w:rsid w:val="00333648"/>
    <w:rsid w:val="003465BA"/>
    <w:rsid w:val="00364C9F"/>
    <w:rsid w:val="0036609A"/>
    <w:rsid w:val="00372BE6"/>
    <w:rsid w:val="00374B5F"/>
    <w:rsid w:val="0037625E"/>
    <w:rsid w:val="00386F7F"/>
    <w:rsid w:val="00391405"/>
    <w:rsid w:val="00394D58"/>
    <w:rsid w:val="003C3944"/>
    <w:rsid w:val="003D0B3E"/>
    <w:rsid w:val="003E33AD"/>
    <w:rsid w:val="003F0C58"/>
    <w:rsid w:val="003F1535"/>
    <w:rsid w:val="003F2E74"/>
    <w:rsid w:val="003F599A"/>
    <w:rsid w:val="004056FE"/>
    <w:rsid w:val="004200CA"/>
    <w:rsid w:val="004405EB"/>
    <w:rsid w:val="004425A8"/>
    <w:rsid w:val="00457835"/>
    <w:rsid w:val="0046529C"/>
    <w:rsid w:val="00490CF1"/>
    <w:rsid w:val="004A3237"/>
    <w:rsid w:val="004B5EB1"/>
    <w:rsid w:val="004E7784"/>
    <w:rsid w:val="00535314"/>
    <w:rsid w:val="00544E30"/>
    <w:rsid w:val="0059059C"/>
    <w:rsid w:val="005A7EF8"/>
    <w:rsid w:val="005B1E8F"/>
    <w:rsid w:val="005B5536"/>
    <w:rsid w:val="005C143B"/>
    <w:rsid w:val="005E247D"/>
    <w:rsid w:val="005E4939"/>
    <w:rsid w:val="005E7AE6"/>
    <w:rsid w:val="005F553A"/>
    <w:rsid w:val="006343B6"/>
    <w:rsid w:val="006537F8"/>
    <w:rsid w:val="006650C4"/>
    <w:rsid w:val="00673545"/>
    <w:rsid w:val="00676113"/>
    <w:rsid w:val="00695EAA"/>
    <w:rsid w:val="006B6014"/>
    <w:rsid w:val="006B7B44"/>
    <w:rsid w:val="006C1FC9"/>
    <w:rsid w:val="006C600B"/>
    <w:rsid w:val="006C7D6C"/>
    <w:rsid w:val="006D0E46"/>
    <w:rsid w:val="006D16E1"/>
    <w:rsid w:val="006D75C8"/>
    <w:rsid w:val="006E2DEC"/>
    <w:rsid w:val="006E369E"/>
    <w:rsid w:val="006F0321"/>
    <w:rsid w:val="006F6BBC"/>
    <w:rsid w:val="00710C1C"/>
    <w:rsid w:val="00716906"/>
    <w:rsid w:val="007360E5"/>
    <w:rsid w:val="00744348"/>
    <w:rsid w:val="007447D1"/>
    <w:rsid w:val="00756949"/>
    <w:rsid w:val="00764595"/>
    <w:rsid w:val="00765A9C"/>
    <w:rsid w:val="00766186"/>
    <w:rsid w:val="00781CC2"/>
    <w:rsid w:val="00782903"/>
    <w:rsid w:val="00785117"/>
    <w:rsid w:val="007A2E34"/>
    <w:rsid w:val="007A5C9A"/>
    <w:rsid w:val="007A7611"/>
    <w:rsid w:val="007B1E89"/>
    <w:rsid w:val="007B2A23"/>
    <w:rsid w:val="007B4260"/>
    <w:rsid w:val="007C60FA"/>
    <w:rsid w:val="007E361C"/>
    <w:rsid w:val="007E52E8"/>
    <w:rsid w:val="007F0400"/>
    <w:rsid w:val="00804A0A"/>
    <w:rsid w:val="00813101"/>
    <w:rsid w:val="008273BE"/>
    <w:rsid w:val="00850E1B"/>
    <w:rsid w:val="00867ED2"/>
    <w:rsid w:val="00871637"/>
    <w:rsid w:val="0087680C"/>
    <w:rsid w:val="00891F7C"/>
    <w:rsid w:val="00897091"/>
    <w:rsid w:val="008C0C67"/>
    <w:rsid w:val="008D10C5"/>
    <w:rsid w:val="008D31B7"/>
    <w:rsid w:val="008E2BFD"/>
    <w:rsid w:val="008F16F8"/>
    <w:rsid w:val="008F66FE"/>
    <w:rsid w:val="00910C7C"/>
    <w:rsid w:val="0091547A"/>
    <w:rsid w:val="00920A89"/>
    <w:rsid w:val="00922FA8"/>
    <w:rsid w:val="0093585A"/>
    <w:rsid w:val="0094131B"/>
    <w:rsid w:val="00961430"/>
    <w:rsid w:val="00975296"/>
    <w:rsid w:val="00975747"/>
    <w:rsid w:val="00983FEE"/>
    <w:rsid w:val="00996030"/>
    <w:rsid w:val="009979AE"/>
    <w:rsid w:val="009A2BB9"/>
    <w:rsid w:val="009A2C90"/>
    <w:rsid w:val="009B2BA0"/>
    <w:rsid w:val="009B5536"/>
    <w:rsid w:val="009B6949"/>
    <w:rsid w:val="009C1A12"/>
    <w:rsid w:val="009E4DC4"/>
    <w:rsid w:val="00A04F7D"/>
    <w:rsid w:val="00A07287"/>
    <w:rsid w:val="00A471DF"/>
    <w:rsid w:val="00A522F3"/>
    <w:rsid w:val="00A545CE"/>
    <w:rsid w:val="00A56D02"/>
    <w:rsid w:val="00A60E9B"/>
    <w:rsid w:val="00A61B0C"/>
    <w:rsid w:val="00A732D9"/>
    <w:rsid w:val="00A73F00"/>
    <w:rsid w:val="00A7623F"/>
    <w:rsid w:val="00A828ED"/>
    <w:rsid w:val="00AC36AA"/>
    <w:rsid w:val="00AE6675"/>
    <w:rsid w:val="00B1748C"/>
    <w:rsid w:val="00B20A3C"/>
    <w:rsid w:val="00B46EFF"/>
    <w:rsid w:val="00B50383"/>
    <w:rsid w:val="00B52013"/>
    <w:rsid w:val="00B607BF"/>
    <w:rsid w:val="00B6381C"/>
    <w:rsid w:val="00BA4403"/>
    <w:rsid w:val="00BD3CC5"/>
    <w:rsid w:val="00C0438E"/>
    <w:rsid w:val="00C322BB"/>
    <w:rsid w:val="00C36F62"/>
    <w:rsid w:val="00C47E8B"/>
    <w:rsid w:val="00C53801"/>
    <w:rsid w:val="00C7338C"/>
    <w:rsid w:val="00C77276"/>
    <w:rsid w:val="00C87C24"/>
    <w:rsid w:val="00CC3693"/>
    <w:rsid w:val="00CC56E2"/>
    <w:rsid w:val="00CD02DF"/>
    <w:rsid w:val="00CD080F"/>
    <w:rsid w:val="00CD44E9"/>
    <w:rsid w:val="00CE4FBA"/>
    <w:rsid w:val="00D21D23"/>
    <w:rsid w:val="00D22EE6"/>
    <w:rsid w:val="00D30BF4"/>
    <w:rsid w:val="00D32E6B"/>
    <w:rsid w:val="00D706E4"/>
    <w:rsid w:val="00D71C6E"/>
    <w:rsid w:val="00D90A72"/>
    <w:rsid w:val="00DA3D83"/>
    <w:rsid w:val="00DB6183"/>
    <w:rsid w:val="00DD0622"/>
    <w:rsid w:val="00DD0674"/>
    <w:rsid w:val="00E1557A"/>
    <w:rsid w:val="00E22898"/>
    <w:rsid w:val="00E51D75"/>
    <w:rsid w:val="00E736F5"/>
    <w:rsid w:val="00E94C4F"/>
    <w:rsid w:val="00E96EB8"/>
    <w:rsid w:val="00EA2A96"/>
    <w:rsid w:val="00EB4B39"/>
    <w:rsid w:val="00EC10BB"/>
    <w:rsid w:val="00ED0601"/>
    <w:rsid w:val="00ED1E92"/>
    <w:rsid w:val="00EE0D26"/>
    <w:rsid w:val="00EF5798"/>
    <w:rsid w:val="00F11CA2"/>
    <w:rsid w:val="00F15D88"/>
    <w:rsid w:val="00F33EB6"/>
    <w:rsid w:val="00F56CC5"/>
    <w:rsid w:val="00F56EED"/>
    <w:rsid w:val="00F65874"/>
    <w:rsid w:val="00F7377B"/>
    <w:rsid w:val="00F81DCB"/>
    <w:rsid w:val="00F8281D"/>
    <w:rsid w:val="00F908DC"/>
    <w:rsid w:val="00FC3D19"/>
    <w:rsid w:val="064B7E9C"/>
    <w:rsid w:val="087E4C46"/>
    <w:rsid w:val="29D240CF"/>
    <w:rsid w:val="3BD43870"/>
    <w:rsid w:val="41713148"/>
    <w:rsid w:val="5E315658"/>
    <w:rsid w:val="7CA3356D"/>
    <w:rsid w:val="7FB67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link w:val="18"/>
    <w:qFormat/>
    <w:uiPriority w:val="99"/>
    <w:pPr>
      <w:tabs>
        <w:tab w:val="center" w:pos="4153"/>
        <w:tab w:val="right" w:pos="8306"/>
      </w:tabs>
      <w:snapToGrid w:val="0"/>
      <w:jc w:val="left"/>
    </w:pPr>
    <w:rPr>
      <w:sz w:val="18"/>
    </w:rPr>
  </w:style>
  <w:style w:type="paragraph" w:styleId="7">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Title"/>
    <w:basedOn w:val="1"/>
    <w:next w:val="1"/>
    <w:link w:val="16"/>
    <w:qFormat/>
    <w:uiPriority w:val="0"/>
    <w:pPr>
      <w:spacing w:before="240" w:after="60"/>
      <w:jc w:val="center"/>
      <w:outlineLvl w:val="0"/>
    </w:pPr>
    <w:rPr>
      <w:rFonts w:asciiTheme="majorHAnsi" w:hAnsiTheme="majorHAnsi" w:eastAsiaTheme="majorEastAsia" w:cstheme="majorBidi"/>
      <w:b/>
      <w:bCs/>
      <w:sz w:val="32"/>
      <w:szCs w:val="32"/>
    </w:rPr>
  </w:style>
  <w:style w:type="character" w:styleId="13">
    <w:name w:val="Strong"/>
    <w:basedOn w:val="12"/>
    <w:qFormat/>
    <w:uiPriority w:val="0"/>
    <w:rPr>
      <w:b/>
    </w:rPr>
  </w:style>
  <w:style w:type="character" w:styleId="14">
    <w:name w:val="Hyperlink"/>
    <w:basedOn w:val="12"/>
    <w:unhideWhenUsed/>
    <w:uiPriority w:val="99"/>
    <w:rPr>
      <w:color w:val="0563C1" w:themeColor="hyperlink"/>
      <w:u w:val="single"/>
      <w14:textFill>
        <w14:solidFill>
          <w14:schemeClr w14:val="hlink"/>
        </w14:solidFill>
      </w14:textFill>
    </w:rPr>
  </w:style>
  <w:style w:type="paragraph" w:customStyle="1" w:styleId="15">
    <w:name w:val="TOC 标题1"/>
    <w:basedOn w:val="2"/>
    <w:next w:val="1"/>
    <w:unhideWhenUsed/>
    <w:qFormat/>
    <w:uiPriority w:val="39"/>
    <w:pPr>
      <w:keepNext/>
      <w:keepLines/>
      <w:widowControl/>
      <w:spacing w:before="240" w:beforeAutospacing="0" w:afterAutospacing="0" w:line="259" w:lineRule="auto"/>
      <w:outlineLvl w:val="9"/>
    </w:pPr>
    <w:rPr>
      <w:rFonts w:hint="default" w:asciiTheme="majorHAnsi" w:hAnsiTheme="majorHAnsi" w:eastAsiaTheme="majorEastAsia" w:cstheme="majorBidi"/>
      <w:b w:val="0"/>
      <w:color w:val="2E75B6" w:themeColor="accent1" w:themeShade="BF"/>
      <w:kern w:val="0"/>
      <w:sz w:val="32"/>
      <w:szCs w:val="32"/>
    </w:rPr>
  </w:style>
  <w:style w:type="character" w:customStyle="1" w:styleId="16">
    <w:name w:val="标题 字符"/>
    <w:basedOn w:val="12"/>
    <w:link w:val="10"/>
    <w:uiPriority w:val="0"/>
    <w:rPr>
      <w:rFonts w:asciiTheme="majorHAnsi" w:hAnsiTheme="majorHAnsi" w:eastAsiaTheme="majorEastAsia" w:cstheme="majorBidi"/>
      <w:b/>
      <w:bCs/>
      <w:kern w:val="2"/>
      <w:sz w:val="32"/>
      <w:szCs w:val="32"/>
    </w:rPr>
  </w:style>
  <w:style w:type="character" w:customStyle="1" w:styleId="17">
    <w:name w:val="页眉 字符"/>
    <w:basedOn w:val="12"/>
    <w:link w:val="7"/>
    <w:uiPriority w:val="99"/>
    <w:rPr>
      <w:rFonts w:asciiTheme="minorHAnsi" w:hAnsiTheme="minorHAnsi" w:eastAsiaTheme="minorEastAsia" w:cstheme="minorBidi"/>
      <w:kern w:val="2"/>
      <w:sz w:val="18"/>
      <w:szCs w:val="24"/>
    </w:rPr>
  </w:style>
  <w:style w:type="character" w:customStyle="1" w:styleId="18">
    <w:name w:val="页脚 字符"/>
    <w:basedOn w:val="12"/>
    <w:link w:val="6"/>
    <w:uiPriority w:val="99"/>
    <w:rPr>
      <w:rFonts w:asciiTheme="minorHAnsi" w:hAnsiTheme="minorHAnsi" w:eastAsiaTheme="minorEastAsia" w:cstheme="minorBidi"/>
      <w:kern w:val="2"/>
      <w:sz w:val="18"/>
      <w:szCs w:val="24"/>
    </w:rPr>
  </w:style>
  <w:style w:type="character" w:customStyle="1" w:styleId="19">
    <w:name w:val="标题 2 字符"/>
    <w:basedOn w:val="12"/>
    <w:link w:val="3"/>
    <w:semiHidden/>
    <w:qFormat/>
    <w:uiPriority w:val="0"/>
    <w:rPr>
      <w:rFonts w:asciiTheme="majorHAnsi" w:hAnsiTheme="majorHAnsi" w:eastAsiaTheme="majorEastAsia" w:cstheme="majorBidi"/>
      <w:b/>
      <w:bCs/>
      <w:kern w:val="2"/>
      <w:sz w:val="32"/>
      <w:szCs w:val="32"/>
    </w:rPr>
  </w:style>
  <w:style w:type="character" w:customStyle="1" w:styleId="20">
    <w:name w:val="Unresolved Mention"/>
    <w:basedOn w:val="1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50D5E-73BC-456A-BE07-5EB99F8E41A8}">
  <ds:schemaRefs/>
</ds:datastoreItem>
</file>

<file path=docProps/app.xml><?xml version="1.0" encoding="utf-8"?>
<Properties xmlns="http://schemas.openxmlformats.org/officeDocument/2006/extended-properties" xmlns:vt="http://schemas.openxmlformats.org/officeDocument/2006/docPropsVTypes">
  <Template>Normal</Template>
  <Pages>11</Pages>
  <Words>9776</Words>
  <Characters>9884</Characters>
  <Lines>71</Lines>
  <Paragraphs>20</Paragraphs>
  <TotalTime>395</TotalTime>
  <ScaleCrop>false</ScaleCrop>
  <LinksUpToDate>false</LinksUpToDate>
  <CharactersWithSpaces>9891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2020-11-16T10:09:00Z</dcterms:created>
  <dc:creator>福州市民的小可爱</dc:creator>
  <cp:lastModifiedBy>Z</cp:lastModifiedBy>
  <dcterms:modified xsi:type="dcterms:W3CDTF">2025-05-29T08:10:15Z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555E1FB637A74ED4863532A649F30AD2_13</vt:lpwstr>
  </property>
  <property fmtid="{D5CDD505-2E9C-101B-9397-08002B2CF9AE}" pid="4" name="KSOTemplateDocerSaveRecord">
    <vt:lpwstr>eyJoZGlkIjoiNzdlNWQyYTg1OTA4Mjg2NDBmZWM1NWNkZTVhZjA0ZGIiLCJ1c2VySWQiOiIzMDk2MDIyMjcifQ==</vt:lpwstr>
  </property>
</Properties>
</file>